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995" w:type="dxa"/>
        <w:tblLook w:val="04A0" w:firstRow="1" w:lastRow="0" w:firstColumn="1" w:lastColumn="0" w:noHBand="0" w:noVBand="1"/>
      </w:tblPr>
      <w:tblGrid>
        <w:gridCol w:w="5342"/>
        <w:gridCol w:w="1021"/>
        <w:gridCol w:w="967"/>
        <w:gridCol w:w="806"/>
        <w:gridCol w:w="2124"/>
      </w:tblGrid>
      <w:tr w:rsidR="006E3E9E" w14:paraId="42A7E05C" w14:textId="77777777" w:rsidTr="00875DAF">
        <w:tc>
          <w:tcPr>
            <w:tcW w:w="5490" w:type="dxa"/>
          </w:tcPr>
          <w:p w14:paraId="620FE64F" w14:textId="77777777" w:rsidR="0027738C" w:rsidRDefault="0027738C"/>
        </w:tc>
        <w:tc>
          <w:tcPr>
            <w:tcW w:w="810" w:type="dxa"/>
          </w:tcPr>
          <w:p w14:paraId="170352D9" w14:textId="3F5BD557" w:rsidR="0027738C" w:rsidRDefault="0027738C">
            <w:r>
              <w:t>Excellent (4)</w:t>
            </w:r>
          </w:p>
        </w:tc>
        <w:tc>
          <w:tcPr>
            <w:tcW w:w="981" w:type="dxa"/>
          </w:tcPr>
          <w:p w14:paraId="758E02C1" w14:textId="77777777" w:rsidR="0027738C" w:rsidRDefault="0027738C">
            <w:r>
              <w:t>Good (3)</w:t>
            </w:r>
          </w:p>
        </w:tc>
        <w:tc>
          <w:tcPr>
            <w:tcW w:w="819" w:type="dxa"/>
          </w:tcPr>
          <w:p w14:paraId="640CA198" w14:textId="77777777" w:rsidR="0027738C" w:rsidRDefault="0027738C">
            <w:r>
              <w:t>Fair (2)</w:t>
            </w:r>
          </w:p>
        </w:tc>
        <w:tc>
          <w:tcPr>
            <w:tcW w:w="2160" w:type="dxa"/>
          </w:tcPr>
          <w:p w14:paraId="53A02B3F" w14:textId="77777777" w:rsidR="0027738C" w:rsidRDefault="0027738C">
            <w:r>
              <w:t>Needs Improvement (1)</w:t>
            </w:r>
          </w:p>
        </w:tc>
      </w:tr>
      <w:tr w:rsidR="006E3E9E" w14:paraId="28A0281B" w14:textId="77777777" w:rsidTr="00875DAF">
        <w:tc>
          <w:tcPr>
            <w:tcW w:w="5490" w:type="dxa"/>
          </w:tcPr>
          <w:p w14:paraId="3D570669" w14:textId="0E3D9997" w:rsidR="0027738C" w:rsidRDefault="00444114" w:rsidP="0027738C">
            <w:r>
              <w:t xml:space="preserve">1. </w:t>
            </w:r>
            <w:r w:rsidR="0027738C">
              <w:t>Respondent has prior experience preparing quality Community Health Needs Assessments</w:t>
            </w:r>
          </w:p>
        </w:tc>
        <w:tc>
          <w:tcPr>
            <w:tcW w:w="810" w:type="dxa"/>
          </w:tcPr>
          <w:p w14:paraId="4E9DAD94" w14:textId="16E8892B" w:rsidR="0027738C" w:rsidRDefault="0027738C"/>
        </w:tc>
        <w:tc>
          <w:tcPr>
            <w:tcW w:w="981" w:type="dxa"/>
          </w:tcPr>
          <w:p w14:paraId="1218F2E4" w14:textId="77777777" w:rsidR="0027738C" w:rsidRDefault="0027738C"/>
        </w:tc>
        <w:tc>
          <w:tcPr>
            <w:tcW w:w="819" w:type="dxa"/>
          </w:tcPr>
          <w:p w14:paraId="622ACC6C" w14:textId="77777777" w:rsidR="0027738C" w:rsidRDefault="0027738C"/>
        </w:tc>
        <w:tc>
          <w:tcPr>
            <w:tcW w:w="2160" w:type="dxa"/>
          </w:tcPr>
          <w:p w14:paraId="1EF142E6" w14:textId="77777777" w:rsidR="0027738C" w:rsidRDefault="0027738C"/>
        </w:tc>
      </w:tr>
      <w:tr w:rsidR="006E3E9E" w14:paraId="1507EC5D" w14:textId="77777777" w:rsidTr="00875DAF">
        <w:tc>
          <w:tcPr>
            <w:tcW w:w="5490" w:type="dxa"/>
          </w:tcPr>
          <w:p w14:paraId="232F5047" w14:textId="6C51CB6B" w:rsidR="009F0D51" w:rsidRDefault="00444114" w:rsidP="009F0D51">
            <w:r>
              <w:t xml:space="preserve">2. </w:t>
            </w:r>
            <w:r w:rsidR="009F0D51">
              <w:t>Respondent demonstrates extensive knowledge of the</w:t>
            </w:r>
            <w:r w:rsidR="009F0D51" w:rsidRPr="009F0D51">
              <w:t xml:space="preserve"> IRS requirements for </w:t>
            </w:r>
            <w:r w:rsidR="009F0D51">
              <w:t>nonprofit hospitals</w:t>
            </w:r>
            <w:r w:rsidR="009F0D51" w:rsidRPr="009F0D51">
              <w:t xml:space="preserve"> on CHNA reporting—including </w:t>
            </w:r>
            <w:r w:rsidR="009F0D51">
              <w:t xml:space="preserve">the </w:t>
            </w:r>
            <w:r w:rsidR="009F0D51" w:rsidRPr="009F0D51">
              <w:t>latest final regulations</w:t>
            </w:r>
            <w:r w:rsidR="00DB4C54">
              <w:t xml:space="preserve">.  Additionally, respondent demonstrates extensive knowledge on PHAB standards, as well as the CHA requirements for becoming an accredited entity for public health </w:t>
            </w:r>
            <w:proofErr w:type="gramStart"/>
            <w:r w:rsidR="00DB4C54">
              <w:t>jurisdictions.*</w:t>
            </w:r>
            <w:proofErr w:type="gramEnd"/>
          </w:p>
        </w:tc>
        <w:tc>
          <w:tcPr>
            <w:tcW w:w="810" w:type="dxa"/>
          </w:tcPr>
          <w:p w14:paraId="69277DAC" w14:textId="77777777" w:rsidR="009F0D51" w:rsidRDefault="009F0D51"/>
        </w:tc>
        <w:tc>
          <w:tcPr>
            <w:tcW w:w="981" w:type="dxa"/>
          </w:tcPr>
          <w:p w14:paraId="2B0D0D12" w14:textId="77777777" w:rsidR="009F0D51" w:rsidRDefault="009F0D51"/>
        </w:tc>
        <w:tc>
          <w:tcPr>
            <w:tcW w:w="819" w:type="dxa"/>
          </w:tcPr>
          <w:p w14:paraId="2EBB405C" w14:textId="77777777" w:rsidR="009F0D51" w:rsidRDefault="009F0D51"/>
        </w:tc>
        <w:tc>
          <w:tcPr>
            <w:tcW w:w="2160" w:type="dxa"/>
          </w:tcPr>
          <w:p w14:paraId="60A0D493" w14:textId="77777777" w:rsidR="009F0D51" w:rsidRDefault="009F0D51"/>
        </w:tc>
      </w:tr>
      <w:tr w:rsidR="006E3E9E" w14:paraId="51C9D9B7" w14:textId="77777777" w:rsidTr="00875DAF">
        <w:tc>
          <w:tcPr>
            <w:tcW w:w="5490" w:type="dxa"/>
          </w:tcPr>
          <w:p w14:paraId="6C0360E8" w14:textId="600FFDA8" w:rsidR="00854762" w:rsidRDefault="00444114" w:rsidP="00854762">
            <w:r>
              <w:t xml:space="preserve">3. </w:t>
            </w:r>
            <w:r w:rsidR="00854762">
              <w:t>Respondent has prior experience working in the Central Valley</w:t>
            </w:r>
            <w:r w:rsidR="00025179">
              <w:t xml:space="preserve"> and demonstrates a clear understanding of the region’s healthcare needs</w:t>
            </w:r>
            <w:r w:rsidR="00854762">
              <w:t xml:space="preserve">. </w:t>
            </w:r>
          </w:p>
        </w:tc>
        <w:tc>
          <w:tcPr>
            <w:tcW w:w="810" w:type="dxa"/>
          </w:tcPr>
          <w:p w14:paraId="58A99C2A" w14:textId="77777777" w:rsidR="00854762" w:rsidRDefault="00854762"/>
        </w:tc>
        <w:tc>
          <w:tcPr>
            <w:tcW w:w="981" w:type="dxa"/>
          </w:tcPr>
          <w:p w14:paraId="7DD8E912" w14:textId="77777777" w:rsidR="00854762" w:rsidRDefault="00854762"/>
        </w:tc>
        <w:tc>
          <w:tcPr>
            <w:tcW w:w="819" w:type="dxa"/>
          </w:tcPr>
          <w:p w14:paraId="05725460" w14:textId="77777777" w:rsidR="00854762" w:rsidRDefault="00854762"/>
        </w:tc>
        <w:tc>
          <w:tcPr>
            <w:tcW w:w="2160" w:type="dxa"/>
          </w:tcPr>
          <w:p w14:paraId="0E1B8BAB" w14:textId="77777777" w:rsidR="00854762" w:rsidRDefault="00854762"/>
        </w:tc>
      </w:tr>
      <w:tr w:rsidR="006E3E9E" w14:paraId="25D537DD" w14:textId="77777777" w:rsidTr="00875DAF">
        <w:tc>
          <w:tcPr>
            <w:tcW w:w="5490" w:type="dxa"/>
          </w:tcPr>
          <w:p w14:paraId="47B21CF8" w14:textId="3BDCA336" w:rsidR="00DB4C54" w:rsidRPr="00DB4C54" w:rsidRDefault="00AD43CA" w:rsidP="00854762">
            <w:r>
              <w:t>4.</w:t>
            </w:r>
            <w:r w:rsidR="00854762">
              <w:t xml:space="preserve">Respondent proposes to </w:t>
            </w:r>
            <w:r w:rsidR="0027738C">
              <w:t xml:space="preserve">utilize sound methodologies to gather data </w:t>
            </w:r>
            <w:r w:rsidR="00025179">
              <w:t xml:space="preserve">and monitoring strategies </w:t>
            </w:r>
            <w:r w:rsidR="00444114">
              <w:t xml:space="preserve">for the </w:t>
            </w:r>
            <w:r w:rsidR="00444114" w:rsidRPr="00BC5051">
              <w:t>CHNA and has access to sub-county data as needed to identify disparities and support program planning for vulnerable populations (</w:t>
            </w:r>
            <w:r w:rsidR="00DB4C54">
              <w:t xml:space="preserve">e.g. </w:t>
            </w:r>
            <w:r w:rsidR="00444114" w:rsidRPr="00BC5051">
              <w:t>Tribal groups, veterans, LGBTQ</w:t>
            </w:r>
            <w:r w:rsidR="00DB4C54">
              <w:t>+</w:t>
            </w:r>
            <w:r w:rsidR="00444114" w:rsidRPr="00BC5051">
              <w:t>, farmworkers and rural residents</w:t>
            </w:r>
            <w:proofErr w:type="gramStart"/>
            <w:r w:rsidR="00444114" w:rsidRPr="00BC5051">
              <w:t>).</w:t>
            </w:r>
            <w:r w:rsidR="00DB4C54">
              <w:t>*</w:t>
            </w:r>
            <w:proofErr w:type="gramEnd"/>
          </w:p>
        </w:tc>
        <w:tc>
          <w:tcPr>
            <w:tcW w:w="810" w:type="dxa"/>
          </w:tcPr>
          <w:p w14:paraId="170E279E" w14:textId="77777777" w:rsidR="0027738C" w:rsidRDefault="0027738C"/>
        </w:tc>
        <w:tc>
          <w:tcPr>
            <w:tcW w:w="981" w:type="dxa"/>
          </w:tcPr>
          <w:p w14:paraId="1512A3DB" w14:textId="77777777" w:rsidR="0027738C" w:rsidRDefault="0027738C"/>
        </w:tc>
        <w:tc>
          <w:tcPr>
            <w:tcW w:w="819" w:type="dxa"/>
          </w:tcPr>
          <w:p w14:paraId="0724B8AB" w14:textId="77777777" w:rsidR="0027738C" w:rsidRDefault="0027738C"/>
        </w:tc>
        <w:tc>
          <w:tcPr>
            <w:tcW w:w="2160" w:type="dxa"/>
          </w:tcPr>
          <w:p w14:paraId="26CD1CC3" w14:textId="77777777" w:rsidR="0027738C" w:rsidRDefault="0027738C"/>
        </w:tc>
      </w:tr>
      <w:tr w:rsidR="006E3E9E" w14:paraId="0D7843A2" w14:textId="77777777" w:rsidTr="00875DAF">
        <w:tc>
          <w:tcPr>
            <w:tcW w:w="5490" w:type="dxa"/>
          </w:tcPr>
          <w:p w14:paraId="7FCCD6A6" w14:textId="526F8B3A" w:rsidR="00DB4C54" w:rsidRDefault="00AD43CA" w:rsidP="00632CCF">
            <w:r>
              <w:t xml:space="preserve">5. </w:t>
            </w:r>
            <w:r w:rsidR="00632CCF">
              <w:t xml:space="preserve">Respondent </w:t>
            </w:r>
            <w:r>
              <w:t>describes</w:t>
            </w:r>
            <w:r w:rsidR="00632CCF">
              <w:t xml:space="preserve"> the health needs </w:t>
            </w:r>
            <w:r>
              <w:t>identification</w:t>
            </w:r>
            <w:r w:rsidR="00632CCF">
              <w:t xml:space="preserve"> criteria and the manner in which the indicators will be used to determine </w:t>
            </w:r>
            <w:r w:rsidR="00632CCF" w:rsidRPr="006E3E9E">
              <w:t xml:space="preserve">community health </w:t>
            </w:r>
            <w:proofErr w:type="gramStart"/>
            <w:r w:rsidR="00632CCF" w:rsidRPr="006E3E9E">
              <w:t>needs</w:t>
            </w:r>
            <w:r w:rsidR="00632CCF">
              <w:t>.</w:t>
            </w:r>
            <w:r w:rsidR="00DB4C54">
              <w:t>*</w:t>
            </w:r>
            <w:proofErr w:type="gramEnd"/>
          </w:p>
        </w:tc>
        <w:tc>
          <w:tcPr>
            <w:tcW w:w="810" w:type="dxa"/>
          </w:tcPr>
          <w:p w14:paraId="70539570" w14:textId="77777777" w:rsidR="00632CCF" w:rsidRDefault="00632CCF"/>
        </w:tc>
        <w:tc>
          <w:tcPr>
            <w:tcW w:w="981" w:type="dxa"/>
          </w:tcPr>
          <w:p w14:paraId="5198E2B2" w14:textId="77777777" w:rsidR="00632CCF" w:rsidRDefault="00632CCF"/>
        </w:tc>
        <w:tc>
          <w:tcPr>
            <w:tcW w:w="819" w:type="dxa"/>
          </w:tcPr>
          <w:p w14:paraId="713DADFD" w14:textId="77777777" w:rsidR="00632CCF" w:rsidRDefault="00632CCF"/>
        </w:tc>
        <w:tc>
          <w:tcPr>
            <w:tcW w:w="2160" w:type="dxa"/>
          </w:tcPr>
          <w:p w14:paraId="6648AF41" w14:textId="77777777" w:rsidR="00632CCF" w:rsidRDefault="00632CCF"/>
        </w:tc>
      </w:tr>
      <w:tr w:rsidR="006E3E9E" w14:paraId="1727C5FD" w14:textId="77777777" w:rsidTr="00875DAF">
        <w:tc>
          <w:tcPr>
            <w:tcW w:w="5490" w:type="dxa"/>
          </w:tcPr>
          <w:p w14:paraId="5C786B15" w14:textId="78EF6651" w:rsidR="0027738C" w:rsidRDefault="00AD43CA" w:rsidP="00632CCF">
            <w:r>
              <w:t xml:space="preserve">6. </w:t>
            </w:r>
            <w:r w:rsidR="0033405C">
              <w:t>Respondent utilizes an inclu</w:t>
            </w:r>
            <w:r w:rsidR="00854762">
              <w:t xml:space="preserve">sive community outreach </w:t>
            </w:r>
            <w:r w:rsidR="00632CCF">
              <w:t>strategy</w:t>
            </w:r>
            <w:r w:rsidR="0033405C">
              <w:t xml:space="preserve">, </w:t>
            </w:r>
            <w:r w:rsidR="00632CCF">
              <w:t>such as</w:t>
            </w:r>
            <w:r w:rsidR="0033405C">
              <w:t xml:space="preserve"> diverse </w:t>
            </w:r>
            <w:r w:rsidR="00632CCF">
              <w:t xml:space="preserve">stakeholder outreach </w:t>
            </w:r>
            <w:r w:rsidR="0033405C">
              <w:t>meeting locations; vetted translation</w:t>
            </w:r>
            <w:r w:rsidR="00652FC3">
              <w:t>/interpretation</w:t>
            </w:r>
            <w:r w:rsidR="0033405C">
              <w:t xml:space="preserve"> services in Hmong, Spanish and other languages as needed; varied meeting times to accommodate those whose jobs are not 8-5;</w:t>
            </w:r>
            <w:r w:rsidR="00632CCF">
              <w:t xml:space="preserve"> childcare service at evening sessions;</w:t>
            </w:r>
            <w:r w:rsidR="0033405C">
              <w:t xml:space="preserve"> and an overall community outreach strategy that reflects the socioeconomic </w:t>
            </w:r>
            <w:r w:rsidR="00854762">
              <w:t xml:space="preserve">and cultural </w:t>
            </w:r>
            <w:r w:rsidR="0033405C">
              <w:t xml:space="preserve">diversity of </w:t>
            </w:r>
            <w:r w:rsidRPr="006E3E9E">
              <w:t>all four count</w:t>
            </w:r>
            <w:r w:rsidRPr="00DB4C54">
              <w:t>ies</w:t>
            </w:r>
            <w:r w:rsidR="00632CCF" w:rsidRPr="00DB4C54">
              <w:t xml:space="preserve"> </w:t>
            </w:r>
            <w:r w:rsidR="00DB4C54" w:rsidRPr="00DB4C54">
              <w:t>and demonstrates willingness to be responsive to feedback and adapt to specific community needs</w:t>
            </w:r>
            <w:r w:rsidR="00DB4C54">
              <w:t>.</w:t>
            </w:r>
          </w:p>
        </w:tc>
        <w:tc>
          <w:tcPr>
            <w:tcW w:w="810" w:type="dxa"/>
          </w:tcPr>
          <w:p w14:paraId="12B0F373" w14:textId="77777777" w:rsidR="0027738C" w:rsidRDefault="0027738C"/>
        </w:tc>
        <w:tc>
          <w:tcPr>
            <w:tcW w:w="981" w:type="dxa"/>
          </w:tcPr>
          <w:p w14:paraId="29784F0E" w14:textId="77777777" w:rsidR="0027738C" w:rsidRDefault="0027738C"/>
        </w:tc>
        <w:tc>
          <w:tcPr>
            <w:tcW w:w="819" w:type="dxa"/>
          </w:tcPr>
          <w:p w14:paraId="077DA27B" w14:textId="77777777" w:rsidR="0027738C" w:rsidRDefault="0027738C"/>
        </w:tc>
        <w:tc>
          <w:tcPr>
            <w:tcW w:w="2160" w:type="dxa"/>
          </w:tcPr>
          <w:p w14:paraId="79CF0CB7" w14:textId="77777777" w:rsidR="0027738C" w:rsidRDefault="0027738C"/>
        </w:tc>
      </w:tr>
      <w:tr w:rsidR="006E3E9E" w14:paraId="6F5FEA4D" w14:textId="77777777" w:rsidTr="00875DAF">
        <w:tc>
          <w:tcPr>
            <w:tcW w:w="5490" w:type="dxa"/>
          </w:tcPr>
          <w:p w14:paraId="5818AC37" w14:textId="13353454" w:rsidR="00AD43CA" w:rsidRDefault="00BC5051" w:rsidP="00854762">
            <w:r>
              <w:t>7.</w:t>
            </w:r>
            <w:r w:rsidR="006E3E9E">
              <w:t xml:space="preserve">Respondent shows a clear and deliberate strategy to </w:t>
            </w:r>
            <w:proofErr w:type="gramStart"/>
            <w:r w:rsidR="006E3E9E">
              <w:t>reach  targeted</w:t>
            </w:r>
            <w:proofErr w:type="gramEnd"/>
            <w:r w:rsidR="006E3E9E">
              <w:t xml:space="preserve"> vulnerable populations (</w:t>
            </w:r>
            <w:proofErr w:type="spellStart"/>
            <w:r w:rsidR="00DB4C54">
              <w:t>e.g.</w:t>
            </w:r>
            <w:r w:rsidR="006E3E9E">
              <w:t>Tribal</w:t>
            </w:r>
            <w:proofErr w:type="spellEnd"/>
            <w:r w:rsidR="006E3E9E">
              <w:t xml:space="preserve"> groups, veterans, LGBTQ</w:t>
            </w:r>
            <w:r w:rsidR="00DB4C54">
              <w:t>+</w:t>
            </w:r>
            <w:r w:rsidR="006E3E9E">
              <w:t>, farmworkers and rural residents)</w:t>
            </w:r>
          </w:p>
        </w:tc>
        <w:tc>
          <w:tcPr>
            <w:tcW w:w="810" w:type="dxa"/>
          </w:tcPr>
          <w:p w14:paraId="4593AF78" w14:textId="77777777" w:rsidR="00AD43CA" w:rsidRDefault="00AD43CA"/>
        </w:tc>
        <w:tc>
          <w:tcPr>
            <w:tcW w:w="981" w:type="dxa"/>
          </w:tcPr>
          <w:p w14:paraId="4DBF613D" w14:textId="77777777" w:rsidR="00AD43CA" w:rsidRDefault="00AD43CA"/>
        </w:tc>
        <w:tc>
          <w:tcPr>
            <w:tcW w:w="819" w:type="dxa"/>
          </w:tcPr>
          <w:p w14:paraId="42024869" w14:textId="77777777" w:rsidR="00AD43CA" w:rsidRDefault="00AD43CA"/>
        </w:tc>
        <w:tc>
          <w:tcPr>
            <w:tcW w:w="2160" w:type="dxa"/>
          </w:tcPr>
          <w:p w14:paraId="6CA0C985" w14:textId="77777777" w:rsidR="00AD43CA" w:rsidRDefault="00AD43CA"/>
        </w:tc>
      </w:tr>
      <w:tr w:rsidR="006E3E9E" w14:paraId="78C86EE6" w14:textId="77777777" w:rsidTr="00875DAF">
        <w:tc>
          <w:tcPr>
            <w:tcW w:w="5490" w:type="dxa"/>
          </w:tcPr>
          <w:p w14:paraId="6BE337F9" w14:textId="7B253A93" w:rsidR="0027738C" w:rsidRDefault="00BC5051" w:rsidP="00854762">
            <w:r>
              <w:t>8.</w:t>
            </w:r>
            <w:r w:rsidR="0033405C">
              <w:t xml:space="preserve">Respondent displays a clear understanding of the social determinants of health and integrates them into the </w:t>
            </w:r>
            <w:r w:rsidR="00854762">
              <w:t>proposal</w:t>
            </w:r>
            <w:r w:rsidR="0033405C">
              <w:t>.</w:t>
            </w:r>
          </w:p>
        </w:tc>
        <w:tc>
          <w:tcPr>
            <w:tcW w:w="810" w:type="dxa"/>
          </w:tcPr>
          <w:p w14:paraId="06E74D16" w14:textId="77777777" w:rsidR="0027738C" w:rsidRDefault="0027738C"/>
        </w:tc>
        <w:tc>
          <w:tcPr>
            <w:tcW w:w="981" w:type="dxa"/>
          </w:tcPr>
          <w:p w14:paraId="728501C2" w14:textId="77777777" w:rsidR="0027738C" w:rsidRDefault="0027738C"/>
        </w:tc>
        <w:tc>
          <w:tcPr>
            <w:tcW w:w="819" w:type="dxa"/>
          </w:tcPr>
          <w:p w14:paraId="73A1553A" w14:textId="77777777" w:rsidR="0027738C" w:rsidRDefault="0027738C"/>
        </w:tc>
        <w:tc>
          <w:tcPr>
            <w:tcW w:w="2160" w:type="dxa"/>
          </w:tcPr>
          <w:p w14:paraId="0F4F85B0" w14:textId="77777777" w:rsidR="0027738C" w:rsidRDefault="0027738C"/>
        </w:tc>
      </w:tr>
      <w:tr w:rsidR="006E3E9E" w14:paraId="48A7BAF5" w14:textId="77777777" w:rsidTr="00875DAF">
        <w:tc>
          <w:tcPr>
            <w:tcW w:w="5490" w:type="dxa"/>
          </w:tcPr>
          <w:p w14:paraId="3C537613" w14:textId="01CDC3AE" w:rsidR="0027738C" w:rsidRDefault="00BC5051">
            <w:r>
              <w:t>9.</w:t>
            </w:r>
            <w:r w:rsidR="00854762">
              <w:t xml:space="preserve">Respondent shows an understanding of local community-based organizations and includes an effective engagement strategy to ensure their feedback is incorporated into the CHNA. </w:t>
            </w:r>
          </w:p>
        </w:tc>
        <w:tc>
          <w:tcPr>
            <w:tcW w:w="810" w:type="dxa"/>
          </w:tcPr>
          <w:p w14:paraId="68E58EF1" w14:textId="77777777" w:rsidR="0027738C" w:rsidRDefault="0027738C"/>
        </w:tc>
        <w:tc>
          <w:tcPr>
            <w:tcW w:w="981" w:type="dxa"/>
          </w:tcPr>
          <w:p w14:paraId="49A99DCD" w14:textId="77777777" w:rsidR="0027738C" w:rsidRDefault="0027738C"/>
        </w:tc>
        <w:tc>
          <w:tcPr>
            <w:tcW w:w="819" w:type="dxa"/>
          </w:tcPr>
          <w:p w14:paraId="0B178AAE" w14:textId="77777777" w:rsidR="0027738C" w:rsidRDefault="0027738C"/>
        </w:tc>
        <w:tc>
          <w:tcPr>
            <w:tcW w:w="2160" w:type="dxa"/>
          </w:tcPr>
          <w:p w14:paraId="212FFA72" w14:textId="77777777" w:rsidR="0027738C" w:rsidRDefault="0027738C"/>
        </w:tc>
      </w:tr>
    </w:tbl>
    <w:p w14:paraId="4B85E9DB" w14:textId="71E2FFF9" w:rsidR="00DB4C54" w:rsidRDefault="00875D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E2637" wp14:editId="0D1CAA3A">
                <wp:simplePos x="0" y="0"/>
                <wp:positionH relativeFrom="column">
                  <wp:posOffset>449791</wp:posOffset>
                </wp:positionH>
                <wp:positionV relativeFrom="paragraph">
                  <wp:posOffset>-8005445</wp:posOffset>
                </wp:positionV>
                <wp:extent cx="4867275" cy="800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4A37F" w14:textId="1DB1ACF0" w:rsidR="00632CCF" w:rsidRPr="00632CCF" w:rsidRDefault="00632CCF" w:rsidP="00632C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2CCF">
                              <w:rPr>
                                <w:b/>
                              </w:rPr>
                              <w:t>CHNA Scoring Rubric</w:t>
                            </w:r>
                            <w:r w:rsidRPr="00632CCF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E26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4pt;margin-top:-630.35pt;width:383.2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" filled="f" strokecolor="white [3212]" strokeweight=".5pt">
                <v:textbox>
                  <w:txbxContent>
                    <w:p w14:paraId="6CE4A37F" w14:textId="1DB1ACF0" w:rsidR="00632CCF" w:rsidRPr="00632CCF" w:rsidRDefault="00632CCF" w:rsidP="00632CCF">
                      <w:pPr>
                        <w:jc w:val="center"/>
                        <w:rPr>
                          <w:b/>
                        </w:rPr>
                      </w:pPr>
                      <w:r w:rsidRPr="00632CCF">
                        <w:rPr>
                          <w:b/>
                        </w:rPr>
                        <w:t>CHNA Scoring Rubric</w:t>
                      </w:r>
                      <w:r w:rsidRPr="00632CCF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62130D3" w14:textId="67D4030D" w:rsidR="00DB4C54" w:rsidRDefault="00DB4C54">
      <w:r>
        <w:t>*These categories will be considered only for responses to the Secondary Data RFP.</w:t>
      </w:r>
    </w:p>
    <w:sectPr w:rsidR="00DB4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5B79"/>
    <w:multiLevelType w:val="hybridMultilevel"/>
    <w:tmpl w:val="5C082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61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8C"/>
    <w:rsid w:val="00025179"/>
    <w:rsid w:val="0027738C"/>
    <w:rsid w:val="002A6AEA"/>
    <w:rsid w:val="00307BC9"/>
    <w:rsid w:val="0033405C"/>
    <w:rsid w:val="003F158E"/>
    <w:rsid w:val="00444114"/>
    <w:rsid w:val="00495559"/>
    <w:rsid w:val="00632CCF"/>
    <w:rsid w:val="00652FC3"/>
    <w:rsid w:val="006E3E9E"/>
    <w:rsid w:val="00762EC2"/>
    <w:rsid w:val="00854762"/>
    <w:rsid w:val="00875DAF"/>
    <w:rsid w:val="00961A0D"/>
    <w:rsid w:val="009F0D51"/>
    <w:rsid w:val="00AD43CA"/>
    <w:rsid w:val="00BC5051"/>
    <w:rsid w:val="00C561C9"/>
    <w:rsid w:val="00CF5AC4"/>
    <w:rsid w:val="00D158BB"/>
    <w:rsid w:val="00DB4C54"/>
    <w:rsid w:val="00F9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58C3"/>
  <w15:chartTrackingRefBased/>
  <w15:docId w15:val="{B6C531CF-A48F-4FEC-B99C-8477F4E8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CC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7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3E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2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2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2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24f596-51d3-4545-b637-f3225f175bbc">
      <Terms xmlns="http://schemas.microsoft.com/office/infopath/2007/PartnerControls"/>
    </lcf76f155ced4ddcb4097134ff3c332f>
    <TaxCatchAll xmlns="a548121e-b699-4738-b4e4-364082ed4c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628E87A25B64E96C856001C56AA85" ma:contentTypeVersion="18" ma:contentTypeDescription="Create a new document." ma:contentTypeScope="" ma:versionID="85f46526806d3d115271bf91638cd4a3">
  <xsd:schema xmlns:xsd="http://www.w3.org/2001/XMLSchema" xmlns:xs="http://www.w3.org/2001/XMLSchema" xmlns:p="http://schemas.microsoft.com/office/2006/metadata/properties" xmlns:ns2="2924f596-51d3-4545-b637-f3225f175bbc" xmlns:ns3="a548121e-b699-4738-b4e4-364082ed4c71" targetNamespace="http://schemas.microsoft.com/office/2006/metadata/properties" ma:root="true" ma:fieldsID="0bfa60a7ffbb6163dc6bc62e78abf81f" ns2:_="" ns3:_="">
    <xsd:import namespace="2924f596-51d3-4545-b637-f3225f175bbc"/>
    <xsd:import namespace="a548121e-b699-4738-b4e4-364082ed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4f596-51d3-4545-b637-f3225f175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8121e-b699-4738-b4e4-364082ed4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78c91-cbb4-487e-907f-2c6ad66cc8b8}" ma:internalName="TaxCatchAll" ma:showField="CatchAllData" ma:web="a548121e-b699-4738-b4e4-364082ed4c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9B174-3AF9-4AAD-93F1-5EFE12255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E6D51-4099-4745-B851-3974B389196A}">
  <ds:schemaRefs>
    <ds:schemaRef ds:uri="http://schemas.microsoft.com/office/2006/metadata/properties"/>
    <ds:schemaRef ds:uri="http://schemas.microsoft.com/office/infopath/2007/PartnerControls"/>
    <ds:schemaRef ds:uri="2924f596-51d3-4545-b637-f3225f175bbc"/>
    <ds:schemaRef ds:uri="a548121e-b699-4738-b4e4-364082ed4c71"/>
  </ds:schemaRefs>
</ds:datastoreItem>
</file>

<file path=customXml/itemProps3.xml><?xml version="1.0" encoding="utf-8"?>
<ds:datastoreItem xmlns:ds="http://schemas.openxmlformats.org/officeDocument/2006/customXml" ds:itemID="{61138D6B-48C4-414F-9A7B-4DE8A6907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BF4B4-8BD7-41E5-B042-833230C58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4f596-51d3-4545-b637-f3225f175bbc"/>
    <ds:schemaRef ds:uri="a548121e-b699-4738-b4e4-364082ed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Audino</dc:creator>
  <cp:keywords/>
  <dc:description/>
  <cp:lastModifiedBy>David Bacci</cp:lastModifiedBy>
  <cp:revision>4</cp:revision>
  <cp:lastPrinted>2017-11-03T14:26:00Z</cp:lastPrinted>
  <dcterms:created xsi:type="dcterms:W3CDTF">2023-10-02T19:00:00Z</dcterms:created>
  <dcterms:modified xsi:type="dcterms:W3CDTF">2023-10-06T17:14:00Z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0x0101008F8628E87A25B64E96C856001C56AA85</vt:lpwstr>
  </property>
</Properties>
</file>